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B99" w:rsidRPr="00E87B99" w:rsidRDefault="00E87B99" w:rsidP="00E87B99">
      <w:pPr>
        <w:rPr>
          <w:b/>
          <w:sz w:val="28"/>
          <w:szCs w:val="28"/>
          <w:lang w:val="fr-FR"/>
        </w:rPr>
      </w:pPr>
      <w:r>
        <w:rPr>
          <w:b/>
          <w:sz w:val="28"/>
          <w:szCs w:val="28"/>
          <w:lang w:val="fr-FR"/>
        </w:rPr>
        <w:t>Principales caractéristiques Niveaux A1 à C2</w:t>
      </w:r>
      <w:bookmarkStart w:id="0" w:name="_GoBack"/>
      <w:bookmarkEnd w:id="0"/>
      <w:r>
        <w:rPr>
          <w:b/>
          <w:sz w:val="24"/>
          <w:szCs w:val="24"/>
          <w:lang w:val="fr-FR"/>
        </w:rPr>
        <w:t> : indiquez le niveau correspondant aux descripteurs et justifiez votre choix.</w:t>
      </w:r>
    </w:p>
    <w:p w:rsidR="00E87B99" w:rsidRDefault="00E87B99" w:rsidP="00E87B99">
      <w:pPr>
        <w:rPr>
          <w:b/>
          <w:sz w:val="24"/>
          <w:szCs w:val="24"/>
          <w:lang w:val="fr-FR"/>
        </w:rPr>
      </w:pPr>
    </w:p>
    <w:tbl>
      <w:tblPr>
        <w:tblStyle w:val="Grilledutableau"/>
        <w:tblW w:w="13887" w:type="dxa"/>
        <w:tblInd w:w="0" w:type="dxa"/>
        <w:tblLook w:val="04A0" w:firstRow="1" w:lastRow="0" w:firstColumn="1" w:lastColumn="0" w:noHBand="0" w:noVBand="1"/>
      </w:tblPr>
      <w:tblGrid>
        <w:gridCol w:w="846"/>
        <w:gridCol w:w="13041"/>
      </w:tblGrid>
      <w:tr w:rsidR="00E87B99" w:rsidTr="00E87B99">
        <w:tc>
          <w:tcPr>
            <w:tcW w:w="846" w:type="dxa"/>
            <w:tcBorders>
              <w:top w:val="single" w:sz="4" w:space="0" w:color="auto"/>
              <w:left w:val="single" w:sz="4" w:space="0" w:color="auto"/>
              <w:bottom w:val="single" w:sz="4" w:space="0" w:color="auto"/>
              <w:right w:val="single" w:sz="4" w:space="0" w:color="auto"/>
            </w:tcBorders>
          </w:tcPr>
          <w:p w:rsidR="00E87B99" w:rsidRDefault="00E87B99">
            <w:pPr>
              <w:spacing w:line="240" w:lineRule="auto"/>
              <w:rPr>
                <w:b/>
                <w:sz w:val="24"/>
                <w:szCs w:val="24"/>
                <w:lang w:val="fr-FR"/>
              </w:rPr>
            </w:pPr>
          </w:p>
        </w:tc>
        <w:tc>
          <w:tcPr>
            <w:tcW w:w="13041" w:type="dxa"/>
            <w:tcBorders>
              <w:top w:val="single" w:sz="4" w:space="0" w:color="auto"/>
              <w:left w:val="single" w:sz="4" w:space="0" w:color="auto"/>
              <w:bottom w:val="single" w:sz="4" w:space="0" w:color="auto"/>
              <w:right w:val="single" w:sz="4" w:space="0" w:color="auto"/>
            </w:tcBorders>
            <w:hideMark/>
          </w:tcPr>
          <w:p w:rsidR="00E87B99" w:rsidRDefault="00E87B99">
            <w:pPr>
              <w:spacing w:line="240" w:lineRule="auto"/>
              <w:rPr>
                <w:lang w:val="fr-FR"/>
              </w:rPr>
            </w:pPr>
            <w:r>
              <w:rPr>
                <w:lang w:val="fr-FR"/>
              </w:rPr>
              <w:t xml:space="preserve">C’est à ce niveau que l’on trouve la plupart des descripteurs qui indiquent des rapports sociaux tels que : </w:t>
            </w:r>
            <w:r>
              <w:rPr>
                <w:i/>
                <w:lang w:val="fr-FR"/>
              </w:rPr>
              <w:t>utilise les formes quotidiennes de politesse et d’adresse ; accueille quelqu’un, lui demande de ses nouvelles et réagit à la réponse ; invite et répond à une invitation ; discute ce qu’il veut faire, où, et fait les arrangements nécessaires ; fait une proposition et en accepte une</w:t>
            </w:r>
            <w:r>
              <w:rPr>
                <w:lang w:val="fr-FR"/>
              </w:rPr>
              <w:t xml:space="preserve">. C’est également ici que l’on trouve les descripteurs relatifs aux sorties et déplacements tels que </w:t>
            </w:r>
            <w:r>
              <w:rPr>
                <w:i/>
                <w:lang w:val="fr-FR"/>
              </w:rPr>
              <w:t>mener à bien un échange dans un magasin, un bureau de poste ou une banque ; se renseigner sur un voyage ; utiliser les transports en commun : bus, trains, taxis ; demander son chemin et l’indiquer ; acheter des billets ; fournir les produits et les services nécessaires au quotidien et les demander</w:t>
            </w:r>
            <w:r>
              <w:rPr>
                <w:lang w:val="fr-FR"/>
              </w:rPr>
              <w:t>.</w:t>
            </w:r>
          </w:p>
        </w:tc>
      </w:tr>
      <w:tr w:rsidR="00E87B99" w:rsidTr="00E87B99">
        <w:tc>
          <w:tcPr>
            <w:tcW w:w="846" w:type="dxa"/>
            <w:tcBorders>
              <w:top w:val="single" w:sz="4" w:space="0" w:color="auto"/>
              <w:left w:val="single" w:sz="4" w:space="0" w:color="auto"/>
              <w:bottom w:val="single" w:sz="4" w:space="0" w:color="auto"/>
              <w:right w:val="single" w:sz="4" w:space="0" w:color="auto"/>
            </w:tcBorders>
          </w:tcPr>
          <w:p w:rsidR="00E87B99" w:rsidRDefault="00E87B99">
            <w:pPr>
              <w:spacing w:line="240" w:lineRule="auto"/>
              <w:rPr>
                <w:b/>
                <w:sz w:val="24"/>
                <w:szCs w:val="24"/>
                <w:lang w:val="fr-FR"/>
              </w:rPr>
            </w:pPr>
          </w:p>
        </w:tc>
        <w:tc>
          <w:tcPr>
            <w:tcW w:w="13041" w:type="dxa"/>
            <w:tcBorders>
              <w:top w:val="single" w:sz="4" w:space="0" w:color="auto"/>
              <w:left w:val="single" w:sz="4" w:space="0" w:color="auto"/>
              <w:bottom w:val="single" w:sz="4" w:space="0" w:color="auto"/>
              <w:right w:val="single" w:sz="4" w:space="0" w:color="auto"/>
            </w:tcBorders>
            <w:hideMark/>
          </w:tcPr>
          <w:p w:rsidR="00E87B99" w:rsidRDefault="00E87B99">
            <w:pPr>
              <w:spacing w:line="240" w:lineRule="auto"/>
              <w:rPr>
                <w:lang w:val="fr-FR"/>
              </w:rPr>
            </w:pPr>
            <w:r>
              <w:rPr>
                <w:lang w:val="fr-FR"/>
              </w:rPr>
              <w:t xml:space="preserve">Ce qui semble caractériser ce niveau, c’est un bon accès à une large gamme de discours qui permet une communication aisée et spontanée comme on le voit dans les exemples suivants : </w:t>
            </w:r>
            <w:r>
              <w:rPr>
                <w:i/>
                <w:lang w:val="fr-FR"/>
              </w:rPr>
              <w:t>peut s’exprimer avec aisance et spontanéité presque sans effort. A une bonne maitrise d’un répertoire lexical large dont les lacunes sont facilement comblées par des périphrases. Il y a peu de recherche notable de certaines expressions ou de stratégies d’évitement ; seul un sujet conceptuellement difficile peut empêcher que le discours ne se déroule naturellement</w:t>
            </w:r>
            <w:r>
              <w:rPr>
                <w:lang w:val="fr-FR"/>
              </w:rPr>
              <w:t xml:space="preserve">. Les capacités discursives qui caractérisent le niveau précédent se retrouvent avec encore plus d’aisance par exemple : </w:t>
            </w:r>
            <w:r>
              <w:rPr>
                <w:i/>
                <w:lang w:val="fr-FR"/>
              </w:rPr>
              <w:t>peut choisir une expression adéquate dans un répertoire disponible de fonctions de discours pour introduire ses commentaires afin de mobiliser l’attention de l’auditoire ou de gagner du temps en gardant cette attention pendant qu’il/elle réfléchit ; produire un discours clair, bien construit et sans hésitation qui montre l’utilisation bien maitrisée des structures, des connecteurs et des articulateurs.</w:t>
            </w:r>
          </w:p>
        </w:tc>
      </w:tr>
      <w:tr w:rsidR="00E87B99" w:rsidTr="00E87B99">
        <w:tc>
          <w:tcPr>
            <w:tcW w:w="846" w:type="dxa"/>
            <w:tcBorders>
              <w:top w:val="single" w:sz="4" w:space="0" w:color="auto"/>
              <w:left w:val="single" w:sz="4" w:space="0" w:color="auto"/>
              <w:bottom w:val="single" w:sz="4" w:space="0" w:color="auto"/>
              <w:right w:val="single" w:sz="4" w:space="0" w:color="auto"/>
            </w:tcBorders>
          </w:tcPr>
          <w:p w:rsidR="00E87B99" w:rsidRDefault="00E87B99">
            <w:pPr>
              <w:spacing w:line="240" w:lineRule="auto"/>
              <w:rPr>
                <w:b/>
                <w:sz w:val="24"/>
                <w:szCs w:val="24"/>
                <w:lang w:val="fr-FR"/>
              </w:rPr>
            </w:pPr>
          </w:p>
        </w:tc>
        <w:tc>
          <w:tcPr>
            <w:tcW w:w="13041" w:type="dxa"/>
            <w:tcBorders>
              <w:top w:val="single" w:sz="4" w:space="0" w:color="auto"/>
              <w:left w:val="single" w:sz="4" w:space="0" w:color="auto"/>
              <w:bottom w:val="single" w:sz="4" w:space="0" w:color="auto"/>
              <w:right w:val="single" w:sz="4" w:space="0" w:color="auto"/>
            </w:tcBorders>
            <w:hideMark/>
          </w:tcPr>
          <w:p w:rsidR="00E87B99" w:rsidRDefault="00E87B99">
            <w:pPr>
              <w:spacing w:line="240" w:lineRule="auto"/>
              <w:rPr>
                <w:lang w:val="fr-FR"/>
              </w:rPr>
            </w:pPr>
            <w:r>
              <w:rPr>
                <w:lang w:val="fr-FR"/>
              </w:rPr>
              <w:t xml:space="preserve">Les descripteurs calibrés de ce niveau marquent une coupure importante avec ceux qui </w:t>
            </w:r>
            <w:proofErr w:type="gramStart"/>
            <w:r>
              <w:rPr>
                <w:lang w:val="fr-FR"/>
              </w:rPr>
              <w:t>les précédent</w:t>
            </w:r>
            <w:proofErr w:type="gramEnd"/>
            <w:r>
              <w:rPr>
                <w:lang w:val="fr-FR"/>
              </w:rPr>
              <w:t xml:space="preserve">. Par exemple le degré élémentaire de ce niveau se concentre sur l’efficacité de l’argumentation. </w:t>
            </w:r>
            <w:r>
              <w:rPr>
                <w:i/>
                <w:lang w:val="fr-FR"/>
              </w:rPr>
              <w:t xml:space="preserve">Rend compte de ses opinions et les défend au cours d’une discussion en apportant des explications appropriées des arguments et des commentaires ; développe un point de vue en soutenant tour à tour les avantages et les inconvénients des différentes options ; développe une argumentation en défendant ou en accablant un point de vue donné ; prend une part active dans une discussion informelle dans un contexte familier, fait des commentaires, exprime clairement son point de vue, évalue les choix possibles, fait des hypothèses et y répond. </w:t>
            </w:r>
            <w:r>
              <w:rPr>
                <w:lang w:val="fr-FR"/>
              </w:rPr>
              <w:t>En second lieu à ce niveau, on peut être capable de faire mieux que de se débrouiller dans le discours social, par exemple </w:t>
            </w:r>
            <w:r>
              <w:rPr>
                <w:i/>
                <w:lang w:val="fr-FR"/>
              </w:rPr>
              <w:t xml:space="preserve">:comprendre dans le détail ce que l’on vous dit dans une langue standard courante même dans un environnement bruyant ; prendre l’initiative de la parole, prendre son tour de parole au moment voulu et clore la conversation lorsqu’il faut, même si cela n’est pas toujours fait avec élégance ; intervenir avec un niveau d’aisance et de spontanéité qui rend possibles les échanges avec les locuteurs natifs sans imposer de contraintes à l’une ou l’autre des parties. </w:t>
            </w:r>
            <w:r>
              <w:rPr>
                <w:lang w:val="fr-FR"/>
              </w:rPr>
              <w:t xml:space="preserve">Enfin il y a un nouveau degré de conscience de la langue : </w:t>
            </w:r>
            <w:r>
              <w:rPr>
                <w:i/>
                <w:lang w:val="fr-FR"/>
              </w:rPr>
              <w:t>corriger les fautes qui ont déboucher sur des malentendus ; prendre note des « fautes préférées » et contrôler consciemment le discours pour les traquer.  En règle générale corriger les fautes et les erreurs aussitôt qu’on en prend conscience</w:t>
            </w:r>
            <w:r>
              <w:rPr>
                <w:lang w:val="fr-FR"/>
              </w:rPr>
              <w:t>.</w:t>
            </w:r>
          </w:p>
        </w:tc>
      </w:tr>
      <w:tr w:rsidR="00E87B99" w:rsidTr="00E87B99">
        <w:tc>
          <w:tcPr>
            <w:tcW w:w="846" w:type="dxa"/>
            <w:tcBorders>
              <w:top w:val="single" w:sz="4" w:space="0" w:color="auto"/>
              <w:left w:val="single" w:sz="4" w:space="0" w:color="auto"/>
              <w:bottom w:val="single" w:sz="4" w:space="0" w:color="auto"/>
              <w:right w:val="single" w:sz="4" w:space="0" w:color="auto"/>
            </w:tcBorders>
          </w:tcPr>
          <w:p w:rsidR="00E87B99" w:rsidRDefault="00E87B99">
            <w:pPr>
              <w:spacing w:line="240" w:lineRule="auto"/>
              <w:rPr>
                <w:b/>
                <w:sz w:val="24"/>
                <w:szCs w:val="24"/>
                <w:lang w:val="fr-FR"/>
              </w:rPr>
            </w:pPr>
          </w:p>
        </w:tc>
        <w:tc>
          <w:tcPr>
            <w:tcW w:w="13041" w:type="dxa"/>
            <w:tcBorders>
              <w:top w:val="single" w:sz="4" w:space="0" w:color="auto"/>
              <w:left w:val="single" w:sz="4" w:space="0" w:color="auto"/>
              <w:bottom w:val="single" w:sz="4" w:space="0" w:color="auto"/>
              <w:right w:val="single" w:sz="4" w:space="0" w:color="auto"/>
            </w:tcBorders>
            <w:hideMark/>
          </w:tcPr>
          <w:p w:rsidR="00E87B99" w:rsidRDefault="00E87B99">
            <w:pPr>
              <w:spacing w:line="240" w:lineRule="auto"/>
              <w:rPr>
                <w:lang w:val="fr-FR"/>
              </w:rPr>
            </w:pPr>
            <w:r>
              <w:rPr>
                <w:lang w:val="fr-FR"/>
              </w:rPr>
              <w:t xml:space="preserve">Ce niveau a pour but de caractériser le degré de précision, d’adéquation et d’aisance de la langue que l’on trouve dans le discours de ceux qui ont été des apprenants de haut niveau. Les descripteurs inventoriés ici comprennent : </w:t>
            </w:r>
            <w:r>
              <w:rPr>
                <w:i/>
                <w:lang w:val="fr-FR"/>
              </w:rPr>
              <w:t>transmettre les subtilités de sens avec précision en utilisant, avec une raisonnable exactitude, une gamme étendue de modélisateurs ; avoir une bonne maitrise des expressions idiomatiques et familières accompagnée de la conscience des connotations ; revenir en arrière et reformuler une difficulté sans heurts de sorte que l’interlocuteur s’en aperçoive à peine</w:t>
            </w:r>
            <w:r>
              <w:rPr>
                <w:lang w:val="fr-FR"/>
              </w:rPr>
              <w:t>.</w:t>
            </w:r>
          </w:p>
        </w:tc>
      </w:tr>
      <w:tr w:rsidR="00E87B99" w:rsidTr="00E87B99">
        <w:tc>
          <w:tcPr>
            <w:tcW w:w="846" w:type="dxa"/>
            <w:tcBorders>
              <w:top w:val="single" w:sz="4" w:space="0" w:color="auto"/>
              <w:left w:val="single" w:sz="4" w:space="0" w:color="auto"/>
              <w:bottom w:val="single" w:sz="4" w:space="0" w:color="auto"/>
              <w:right w:val="single" w:sz="4" w:space="0" w:color="auto"/>
            </w:tcBorders>
          </w:tcPr>
          <w:p w:rsidR="00E87B99" w:rsidRDefault="00E87B99">
            <w:pPr>
              <w:spacing w:line="240" w:lineRule="auto"/>
              <w:rPr>
                <w:b/>
                <w:sz w:val="24"/>
                <w:szCs w:val="24"/>
                <w:lang w:val="fr-FR"/>
              </w:rPr>
            </w:pPr>
          </w:p>
        </w:tc>
        <w:tc>
          <w:tcPr>
            <w:tcW w:w="13041" w:type="dxa"/>
            <w:tcBorders>
              <w:top w:val="single" w:sz="4" w:space="0" w:color="auto"/>
              <w:left w:val="single" w:sz="4" w:space="0" w:color="auto"/>
              <w:bottom w:val="single" w:sz="4" w:space="0" w:color="auto"/>
              <w:right w:val="single" w:sz="4" w:space="0" w:color="auto"/>
            </w:tcBorders>
            <w:hideMark/>
          </w:tcPr>
          <w:p w:rsidR="00E87B99" w:rsidRDefault="00E87B99">
            <w:pPr>
              <w:spacing w:line="240" w:lineRule="auto"/>
              <w:rPr>
                <w:lang w:val="fr-FR"/>
              </w:rPr>
            </w:pPr>
            <w:r>
              <w:rPr>
                <w:lang w:val="fr-FR"/>
              </w:rPr>
              <w:t xml:space="preserve">Ce niveau est le plus élémentaire de la langue, celui où l’apprenant est capable </w:t>
            </w:r>
            <w:r>
              <w:rPr>
                <w:i/>
                <w:lang w:val="fr-FR"/>
              </w:rPr>
              <w:t>d’interactions simples ; peut répondre à des questions sur lui-même, l’endroit où il vit, les gens qu’il connait, et les choses qu’ils ont ; peut intervenir avec des énoncés simples dans les domaines qui le concernent ou qui lui sont familiers et y répondre également</w:t>
            </w:r>
            <w:r>
              <w:rPr>
                <w:lang w:val="fr-FR"/>
              </w:rPr>
              <w:t xml:space="preserve"> en ne se contentant pas de répéter des expressions toutes faites et </w:t>
            </w:r>
            <w:proofErr w:type="gramStart"/>
            <w:r>
              <w:rPr>
                <w:lang w:val="fr-FR"/>
              </w:rPr>
              <w:t>pré organisées</w:t>
            </w:r>
            <w:proofErr w:type="gramEnd"/>
            <w:r>
              <w:rPr>
                <w:lang w:val="fr-FR"/>
              </w:rPr>
              <w:t>.</w:t>
            </w:r>
          </w:p>
        </w:tc>
      </w:tr>
      <w:tr w:rsidR="00E87B99" w:rsidTr="00E87B99">
        <w:tc>
          <w:tcPr>
            <w:tcW w:w="846" w:type="dxa"/>
            <w:tcBorders>
              <w:top w:val="single" w:sz="4" w:space="0" w:color="auto"/>
              <w:left w:val="single" w:sz="4" w:space="0" w:color="auto"/>
              <w:bottom w:val="single" w:sz="4" w:space="0" w:color="auto"/>
              <w:right w:val="single" w:sz="4" w:space="0" w:color="auto"/>
            </w:tcBorders>
          </w:tcPr>
          <w:p w:rsidR="00E87B99" w:rsidRDefault="00E87B99">
            <w:pPr>
              <w:spacing w:line="240" w:lineRule="auto"/>
              <w:rPr>
                <w:b/>
                <w:sz w:val="24"/>
                <w:szCs w:val="24"/>
                <w:lang w:val="fr-FR"/>
              </w:rPr>
            </w:pPr>
          </w:p>
        </w:tc>
        <w:tc>
          <w:tcPr>
            <w:tcW w:w="13041" w:type="dxa"/>
            <w:tcBorders>
              <w:top w:val="single" w:sz="4" w:space="0" w:color="auto"/>
              <w:left w:val="single" w:sz="4" w:space="0" w:color="auto"/>
              <w:bottom w:val="single" w:sz="4" w:space="0" w:color="auto"/>
              <w:right w:val="single" w:sz="4" w:space="0" w:color="auto"/>
            </w:tcBorders>
            <w:hideMark/>
          </w:tcPr>
          <w:p w:rsidR="00E87B99" w:rsidRDefault="00E87B99">
            <w:pPr>
              <w:spacing w:line="240" w:lineRule="auto"/>
              <w:rPr>
                <w:lang w:val="fr-FR"/>
              </w:rPr>
            </w:pPr>
            <w:r>
              <w:rPr>
                <w:lang w:val="fr-FR"/>
              </w:rPr>
              <w:t>Deux traits caractérisent ce niveau. Le premier est la capacité de poursuivre une interaction et à obtenir ce que l’on veut dans des situations différentes, par exemple </w:t>
            </w:r>
            <w:r>
              <w:rPr>
                <w:i/>
                <w:lang w:val="fr-FR"/>
              </w:rPr>
              <w:t>: en règle générale, suit les points principaux d’une discussion assez longue à son sujet à condition que la diction soit claire et la langue standard ; reste compréhensible même si la recherche des mots et des formes grammaticales, ainsi que la remédiation, sont évidentes, notamment au cours de longs énoncés</w:t>
            </w:r>
            <w:r>
              <w:rPr>
                <w:lang w:val="fr-FR"/>
              </w:rPr>
              <w:t xml:space="preserve">. Le deuxième trait est la capacité de faire face habilement aux problèmes de la vie quotidienne, par exemple : </w:t>
            </w:r>
            <w:r>
              <w:rPr>
                <w:i/>
                <w:lang w:val="fr-FR"/>
              </w:rPr>
              <w:t>se débrouiller dans une situation imprévue dans les transports ; faire face à l’essentiel de ce qui peut arriver chez un voyagiste ou au cours du voyage ; intervenir sans préparations dans des conversations sur des sujets familiers.</w:t>
            </w:r>
          </w:p>
        </w:tc>
      </w:tr>
      <w:tr w:rsidR="00E87B99" w:rsidTr="00E87B99">
        <w:tc>
          <w:tcPr>
            <w:tcW w:w="846" w:type="dxa"/>
            <w:tcBorders>
              <w:top w:val="single" w:sz="4" w:space="0" w:color="auto"/>
              <w:left w:val="single" w:sz="4" w:space="0" w:color="auto"/>
              <w:bottom w:val="single" w:sz="4" w:space="0" w:color="auto"/>
              <w:right w:val="single" w:sz="4" w:space="0" w:color="auto"/>
            </w:tcBorders>
          </w:tcPr>
          <w:p w:rsidR="00E87B99" w:rsidRDefault="00E87B99">
            <w:pPr>
              <w:spacing w:line="240" w:lineRule="auto"/>
              <w:rPr>
                <w:b/>
                <w:sz w:val="24"/>
                <w:szCs w:val="24"/>
                <w:lang w:val="fr-FR"/>
              </w:rPr>
            </w:pPr>
          </w:p>
        </w:tc>
        <w:tc>
          <w:tcPr>
            <w:tcW w:w="13041" w:type="dxa"/>
            <w:tcBorders>
              <w:top w:val="single" w:sz="4" w:space="0" w:color="auto"/>
              <w:left w:val="single" w:sz="4" w:space="0" w:color="auto"/>
              <w:bottom w:val="single" w:sz="4" w:space="0" w:color="auto"/>
              <w:right w:val="single" w:sz="4" w:space="0" w:color="auto"/>
            </w:tcBorders>
            <w:hideMark/>
          </w:tcPr>
          <w:p w:rsidR="00E87B99" w:rsidRDefault="00E87B99">
            <w:pPr>
              <w:spacing w:line="240" w:lineRule="auto"/>
              <w:rPr>
                <w:b/>
                <w:sz w:val="24"/>
                <w:szCs w:val="24"/>
                <w:lang w:val="fr-FR"/>
              </w:rPr>
            </w:pPr>
            <w:r>
              <w:rPr>
                <w:lang w:val="fr-FR"/>
              </w:rPr>
              <w:t>Les mêmes deux caractéristiques principales au niveau précédent continuent d'être présentes, avec l'ajout d'un certain nombre de descripteurs qui mettent l'accent sur l'échange de quantités d'information, par exemple: fournir des informations concrètes requises lors d'une entrevue / consultation (ex. Médecin) mais le fait avec une précision limitée; Expliquer pourquoi quelque chose est un problème; Résumer et donner son opinion sur une nouvelle, un article, un entretien, une entrevue de discussion ou un documentaire et répondre à d'autres questions de détail; Effectuer une entrevue préparée, vérifier et confirmer l'information, même s'il peut occasionnellement demander une répétition si la réponse de l'autre personne est rapide ou prolongée; Décrire comment faire quelque chose, en donnant des instructions détaillées; Échange d'informations factuelles accumulées sur des sujets courants et non routiniers connus dans son domaine avec une certaine confiance.</w:t>
            </w:r>
          </w:p>
        </w:tc>
      </w:tr>
      <w:tr w:rsidR="00E87B99" w:rsidTr="00E87B99">
        <w:tc>
          <w:tcPr>
            <w:tcW w:w="846" w:type="dxa"/>
            <w:tcBorders>
              <w:top w:val="single" w:sz="4" w:space="0" w:color="auto"/>
              <w:left w:val="single" w:sz="4" w:space="0" w:color="auto"/>
              <w:bottom w:val="single" w:sz="4" w:space="0" w:color="auto"/>
              <w:right w:val="single" w:sz="4" w:space="0" w:color="auto"/>
            </w:tcBorders>
          </w:tcPr>
          <w:p w:rsidR="00E87B99" w:rsidRDefault="00E87B99">
            <w:pPr>
              <w:spacing w:line="240" w:lineRule="auto"/>
              <w:rPr>
                <w:b/>
                <w:sz w:val="24"/>
                <w:szCs w:val="24"/>
                <w:lang w:val="fr-FR"/>
              </w:rPr>
            </w:pPr>
          </w:p>
        </w:tc>
        <w:tc>
          <w:tcPr>
            <w:tcW w:w="13041" w:type="dxa"/>
            <w:tcBorders>
              <w:top w:val="single" w:sz="4" w:space="0" w:color="auto"/>
              <w:left w:val="single" w:sz="4" w:space="0" w:color="auto"/>
              <w:bottom w:val="single" w:sz="4" w:space="0" w:color="auto"/>
              <w:right w:val="single" w:sz="4" w:space="0" w:color="auto"/>
            </w:tcBorders>
            <w:hideMark/>
          </w:tcPr>
          <w:p w:rsidR="00E87B99" w:rsidRDefault="00E87B99">
            <w:pPr>
              <w:spacing w:line="240" w:lineRule="auto"/>
              <w:rPr>
                <w:lang w:val="fr-FR"/>
              </w:rPr>
            </w:pPr>
            <w:r>
              <w:rPr>
                <w:lang w:val="fr-FR"/>
              </w:rPr>
              <w:t>Ce qui est remarquable ici est une participation plus active dans la conversation donnée une certaine aide et certaines limitations, par exemple: comprendre assez pour gérer les échanges simples et de routine sans effort indu; Se faire comprendre et échanger des idées et des informations sur des sujets familiers dans des situations quotidiennes prévisibles, à condition que l'autre aide si nécessaire; Traiter des situations quotidiennes avec un contenu prévisible, bien qu'il devra généralement compromettre le message et chercher des mots; Plus beaucoup plus de capacité à soutenir les monologues, par exemple: exprimer comment il se sent en termes simples; Donner une description étendue des aspects quotidiens de son environnement, par ex. Personnes, lieux, un emploi ou une expérience d'étude; Décrire les activités passées et les expériences personnelles; Décrire les habitudes et les routines; Décrire les plans et les arrangements; Expliquer ce qu'il / elle aime ou n'aime pas quelque chose.</w:t>
            </w:r>
          </w:p>
        </w:tc>
      </w:tr>
      <w:tr w:rsidR="00E87B99" w:rsidTr="00E87B99">
        <w:tc>
          <w:tcPr>
            <w:tcW w:w="846" w:type="dxa"/>
            <w:tcBorders>
              <w:top w:val="single" w:sz="4" w:space="0" w:color="auto"/>
              <w:left w:val="single" w:sz="4" w:space="0" w:color="auto"/>
              <w:bottom w:val="single" w:sz="4" w:space="0" w:color="auto"/>
              <w:right w:val="single" w:sz="4" w:space="0" w:color="auto"/>
            </w:tcBorders>
          </w:tcPr>
          <w:p w:rsidR="00E87B99" w:rsidRDefault="00E87B99">
            <w:pPr>
              <w:spacing w:line="240" w:lineRule="auto"/>
              <w:rPr>
                <w:b/>
                <w:sz w:val="24"/>
                <w:szCs w:val="24"/>
                <w:lang w:val="fr-FR"/>
              </w:rPr>
            </w:pPr>
          </w:p>
        </w:tc>
        <w:tc>
          <w:tcPr>
            <w:tcW w:w="13041" w:type="dxa"/>
            <w:tcBorders>
              <w:top w:val="single" w:sz="4" w:space="0" w:color="auto"/>
              <w:left w:val="single" w:sz="4" w:space="0" w:color="auto"/>
              <w:bottom w:val="single" w:sz="4" w:space="0" w:color="auto"/>
              <w:right w:val="single" w:sz="4" w:space="0" w:color="auto"/>
            </w:tcBorders>
            <w:hideMark/>
          </w:tcPr>
          <w:p w:rsidR="00E87B99" w:rsidRDefault="00E87B99">
            <w:pPr>
              <w:spacing w:line="240" w:lineRule="auto"/>
              <w:rPr>
                <w:lang w:val="fr-FR"/>
              </w:rPr>
            </w:pPr>
            <w:r>
              <w:rPr>
                <w:lang w:val="fr-FR"/>
              </w:rPr>
              <w:t>L'accent mis sur l'argumentation, le discours social efficace et sur la conscience de la langue qui apparaît au niveau précédent se poursuit. Cependant, l'accent mis sur l'argumentation et le discours social peut aussi être interprété comme un nouvel accent sur les compétences discursives. Ce nouveau degré de compétence discursive se manifeste dans la gestion conversationnelle (stratégies coopératives</w:t>
            </w:r>
            <w:proofErr w:type="gramStart"/>
            <w:r>
              <w:rPr>
                <w:lang w:val="fr-FR"/>
              </w:rPr>
              <w:t>):</w:t>
            </w:r>
            <w:proofErr w:type="gramEnd"/>
            <w:r>
              <w:rPr>
                <w:lang w:val="fr-FR"/>
              </w:rPr>
              <w:t xml:space="preserve"> donner une rétroaction sur les déclarations et les inférences par d'autres orateurs et aider ainsi à développer la discussion; Rapportent proprement leur propre contribution à celles des autres orateurs. Il est également apparent en ce qui concerne la cohérence / </w:t>
            </w:r>
            <w:proofErr w:type="gramStart"/>
            <w:r>
              <w:rPr>
                <w:lang w:val="fr-FR"/>
              </w:rPr>
              <w:t>cohésion:</w:t>
            </w:r>
            <w:proofErr w:type="gramEnd"/>
            <w:r>
              <w:rPr>
                <w:lang w:val="fr-FR"/>
              </w:rPr>
              <w:t xml:space="preserve"> utiliser une variété de mots de liaison efficacement pour marquer clairement les relations entre les idées; Développer systématiquement un argument en mettant en évidence les points significatifs et les détails pertinents.</w:t>
            </w:r>
          </w:p>
        </w:tc>
      </w:tr>
    </w:tbl>
    <w:p w:rsidR="00E87B99" w:rsidRDefault="00E87B99" w:rsidP="00E87B99">
      <w:pPr>
        <w:rPr>
          <w:b/>
          <w:sz w:val="24"/>
          <w:szCs w:val="24"/>
          <w:lang w:val="fr-FR"/>
        </w:rPr>
      </w:pPr>
    </w:p>
    <w:p w:rsidR="00F828EE" w:rsidRDefault="00E87B99"/>
    <w:sectPr w:rsidR="00F828EE" w:rsidSect="00E87B99">
      <w:pgSz w:w="15840" w:h="1224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B99"/>
    <w:rsid w:val="001B6C93"/>
    <w:rsid w:val="00351F7A"/>
    <w:rsid w:val="0044018C"/>
    <w:rsid w:val="00690A2F"/>
    <w:rsid w:val="00856421"/>
    <w:rsid w:val="009259F0"/>
    <w:rsid w:val="00AA06FD"/>
    <w:rsid w:val="00B14A62"/>
    <w:rsid w:val="00BD48A6"/>
    <w:rsid w:val="00C11F9B"/>
    <w:rsid w:val="00CD463C"/>
    <w:rsid w:val="00D750D7"/>
    <w:rsid w:val="00E87B99"/>
    <w:rsid w:val="00E917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44613"/>
  <w15:chartTrackingRefBased/>
  <w15:docId w15:val="{4A98E816-6366-4FBE-B13E-2EBFBECEF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87B99"/>
    <w:pPr>
      <w:spacing w:line="256" w:lineRule="auto"/>
    </w:pPr>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E87B99"/>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188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1285</Words>
  <Characters>7072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Evelyne Berard</dc:creator>
  <cp:keywords/>
  <dc:description/>
  <cp:lastModifiedBy>Evelyne Berard</cp:lastModifiedBy>
  <cp:revision>1</cp:revision>
  <dcterms:created xsi:type="dcterms:W3CDTF">2017-01-28T11:58:00Z</dcterms:created>
  <dcterms:modified xsi:type="dcterms:W3CDTF">2017-01-28T12:00:00Z</dcterms:modified>
</cp:coreProperties>
</file>