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90A" w:rsidRDefault="0017390A" w:rsidP="0017390A">
      <w:pPr>
        <w:tabs>
          <w:tab w:val="left" w:pos="3544"/>
        </w:tabs>
        <w:jc w:val="center"/>
        <w:rPr>
          <w:b/>
        </w:rPr>
      </w:pPr>
      <w:bookmarkStart w:id="0" w:name="_GoBack"/>
      <w:bookmarkEnd w:id="0"/>
      <w:r>
        <w:rPr>
          <w:b/>
        </w:rPr>
        <w:t>TABLEAU C</w:t>
      </w:r>
      <w:proofErr w:type="gramStart"/>
      <w:r>
        <w:rPr>
          <w:b/>
        </w:rPr>
        <w:t>1:</w:t>
      </w:r>
      <w:proofErr w:type="gramEnd"/>
      <w:r>
        <w:rPr>
          <w:b/>
        </w:rPr>
        <w:t xml:space="preserve"> ECHELLE GLOBALE  D’EVALUATION DE LA PRODUCTION ORALE </w:t>
      </w:r>
    </w:p>
    <w:p w:rsidR="0017390A" w:rsidRDefault="0017390A" w:rsidP="0017390A">
      <w:pPr>
        <w:tabs>
          <w:tab w:val="left" w:pos="3544"/>
        </w:tabs>
        <w:ind w:left="708"/>
        <w:jc w:val="cente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65"/>
        <w:gridCol w:w="8345"/>
      </w:tblGrid>
      <w:tr w:rsidR="0017390A" w:rsidTr="0017390A">
        <w:tc>
          <w:tcPr>
            <w:tcW w:w="865" w:type="dxa"/>
            <w:tcBorders>
              <w:top w:val="single" w:sz="4" w:space="0" w:color="auto"/>
              <w:left w:val="single" w:sz="4" w:space="0" w:color="auto"/>
              <w:bottom w:val="single" w:sz="4" w:space="0" w:color="auto"/>
              <w:right w:val="single" w:sz="4" w:space="0" w:color="auto"/>
            </w:tcBorders>
            <w:hideMark/>
          </w:tcPr>
          <w:p w:rsidR="0017390A" w:rsidRDefault="0017390A">
            <w:r>
              <w:t>C2</w:t>
            </w:r>
          </w:p>
        </w:tc>
        <w:tc>
          <w:tcPr>
            <w:tcW w:w="8345" w:type="dxa"/>
            <w:tcBorders>
              <w:top w:val="single" w:sz="4" w:space="0" w:color="auto"/>
              <w:left w:val="single" w:sz="4" w:space="0" w:color="auto"/>
              <w:bottom w:val="single" w:sz="4" w:space="0" w:color="auto"/>
              <w:right w:val="single" w:sz="4" w:space="0" w:color="auto"/>
            </w:tcBorders>
          </w:tcPr>
          <w:p w:rsidR="0017390A" w:rsidRDefault="0017390A">
            <w:pPr>
              <w:rPr>
                <w:b/>
                <w:i/>
              </w:rPr>
            </w:pPr>
            <w:r>
              <w:rPr>
                <w:b/>
                <w:i/>
              </w:rPr>
              <w:t>Transmet, avec naturel et précision des nuances de sens subtiles.</w:t>
            </w:r>
          </w:p>
          <w:p w:rsidR="0017390A" w:rsidRDefault="0017390A">
            <w:pPr>
              <w:rPr>
                <w:b/>
                <w:i/>
              </w:rPr>
            </w:pPr>
          </w:p>
          <w:p w:rsidR="0017390A" w:rsidRDefault="0017390A">
            <w:r>
              <w:t>Est capable de s’exprimer spontanément et avec beaucoup d’aisance, de communiquer facilement avec habileté et de discriminer avec précision des nuances de sens subtiles. Peut produire des descriptions claires, régulières et bien structurées.</w:t>
            </w:r>
          </w:p>
        </w:tc>
      </w:tr>
      <w:tr w:rsidR="0017390A" w:rsidTr="0017390A">
        <w:tc>
          <w:tcPr>
            <w:tcW w:w="865" w:type="dxa"/>
            <w:tcBorders>
              <w:top w:val="single" w:sz="4" w:space="0" w:color="auto"/>
              <w:left w:val="single" w:sz="4" w:space="0" w:color="auto"/>
              <w:bottom w:val="single" w:sz="4" w:space="0" w:color="auto"/>
              <w:right w:val="single" w:sz="4" w:space="0" w:color="auto"/>
            </w:tcBorders>
            <w:shd w:val="clear" w:color="auto" w:fill="00FFFF"/>
            <w:hideMark/>
          </w:tcPr>
          <w:p w:rsidR="0017390A" w:rsidRDefault="0017390A">
            <w:pPr>
              <w:rPr>
                <w:b/>
                <w:sz w:val="18"/>
              </w:rPr>
            </w:pPr>
            <w:r>
              <w:rPr>
                <w:b/>
                <w:sz w:val="18"/>
              </w:rPr>
              <w:t>C1</w:t>
            </w:r>
          </w:p>
        </w:tc>
        <w:tc>
          <w:tcPr>
            <w:tcW w:w="8345" w:type="dxa"/>
            <w:tcBorders>
              <w:top w:val="single" w:sz="4" w:space="0" w:color="auto"/>
              <w:left w:val="single" w:sz="4" w:space="0" w:color="auto"/>
              <w:bottom w:val="single" w:sz="4" w:space="0" w:color="auto"/>
              <w:right w:val="single" w:sz="4" w:space="0" w:color="auto"/>
            </w:tcBorders>
            <w:shd w:val="clear" w:color="auto" w:fill="00FFFF"/>
          </w:tcPr>
          <w:p w:rsidR="0017390A" w:rsidRDefault="0017390A">
            <w:pPr>
              <w:jc w:val="both"/>
              <w:rPr>
                <w:b/>
                <w:i/>
                <w:sz w:val="18"/>
              </w:rPr>
            </w:pPr>
            <w:r>
              <w:rPr>
                <w:b/>
                <w:i/>
                <w:sz w:val="18"/>
              </w:rPr>
              <w:t>S’exprime spontanément et avec aisance dans un discours clair et bien structuré.</w:t>
            </w:r>
          </w:p>
          <w:p w:rsidR="0017390A" w:rsidRDefault="0017390A">
            <w:pPr>
              <w:jc w:val="both"/>
              <w:rPr>
                <w:sz w:val="18"/>
              </w:rPr>
            </w:pPr>
          </w:p>
          <w:p w:rsidR="0017390A" w:rsidRDefault="0017390A">
            <w:pPr>
              <w:jc w:val="both"/>
              <w:rPr>
                <w:sz w:val="18"/>
              </w:rPr>
            </w:pPr>
            <w:r>
              <w:rPr>
                <w:sz w:val="18"/>
              </w:rPr>
              <w:t>Est capable de s’exprimer spontanément et avec aisance, presque sans effort, dans un discours régulier. Peut faire des descriptions claires et détaillées de sujets complexes. Niveau élevé de correction ; les erreurs sont rares.</w:t>
            </w:r>
          </w:p>
        </w:tc>
      </w:tr>
      <w:tr w:rsidR="0017390A" w:rsidTr="0017390A">
        <w:tc>
          <w:tcPr>
            <w:tcW w:w="865" w:type="dxa"/>
            <w:tcBorders>
              <w:top w:val="single" w:sz="4" w:space="0" w:color="auto"/>
              <w:left w:val="single" w:sz="4" w:space="0" w:color="auto"/>
              <w:bottom w:val="single" w:sz="4" w:space="0" w:color="auto"/>
              <w:right w:val="single" w:sz="4" w:space="0" w:color="auto"/>
            </w:tcBorders>
            <w:hideMark/>
          </w:tcPr>
          <w:p w:rsidR="0017390A" w:rsidRDefault="0017390A">
            <w:r>
              <w:t>B2+</w:t>
            </w:r>
          </w:p>
        </w:tc>
        <w:tc>
          <w:tcPr>
            <w:tcW w:w="8345" w:type="dxa"/>
            <w:tcBorders>
              <w:top w:val="single" w:sz="4" w:space="0" w:color="auto"/>
              <w:left w:val="single" w:sz="4" w:space="0" w:color="auto"/>
              <w:bottom w:val="single" w:sz="4" w:space="0" w:color="auto"/>
              <w:right w:val="single" w:sz="4" w:space="0" w:color="auto"/>
            </w:tcBorders>
          </w:tcPr>
          <w:p w:rsidR="0017390A" w:rsidRDefault="0017390A">
            <w:pPr>
              <w:rPr>
                <w:sz w:val="18"/>
              </w:rPr>
            </w:pPr>
          </w:p>
        </w:tc>
      </w:tr>
      <w:tr w:rsidR="0017390A" w:rsidTr="0017390A">
        <w:tc>
          <w:tcPr>
            <w:tcW w:w="865" w:type="dxa"/>
            <w:tcBorders>
              <w:top w:val="single" w:sz="4" w:space="0" w:color="auto"/>
              <w:left w:val="single" w:sz="4" w:space="0" w:color="auto"/>
              <w:bottom w:val="single" w:sz="4" w:space="0" w:color="auto"/>
              <w:right w:val="single" w:sz="4" w:space="0" w:color="auto"/>
            </w:tcBorders>
            <w:shd w:val="clear" w:color="auto" w:fill="00FFFF"/>
            <w:hideMark/>
          </w:tcPr>
          <w:p w:rsidR="0017390A" w:rsidRDefault="0017390A">
            <w:r>
              <w:t>B2</w:t>
            </w:r>
          </w:p>
        </w:tc>
        <w:tc>
          <w:tcPr>
            <w:tcW w:w="8345" w:type="dxa"/>
            <w:tcBorders>
              <w:top w:val="single" w:sz="4" w:space="0" w:color="auto"/>
              <w:left w:val="single" w:sz="4" w:space="0" w:color="auto"/>
              <w:bottom w:val="single" w:sz="4" w:space="0" w:color="auto"/>
              <w:right w:val="single" w:sz="4" w:space="0" w:color="auto"/>
            </w:tcBorders>
            <w:shd w:val="clear" w:color="auto" w:fill="00FFFF"/>
          </w:tcPr>
          <w:p w:rsidR="0017390A" w:rsidRDefault="0017390A">
            <w:pPr>
              <w:rPr>
                <w:sz w:val="18"/>
              </w:rPr>
            </w:pPr>
            <w:r>
              <w:rPr>
                <w:b/>
                <w:i/>
                <w:sz w:val="18"/>
              </w:rPr>
              <w:t>Exprime ses opinions sans effort notable</w:t>
            </w:r>
            <w:r>
              <w:rPr>
                <w:sz w:val="18"/>
              </w:rPr>
              <w:t>.</w:t>
            </w:r>
          </w:p>
          <w:p w:rsidR="0017390A" w:rsidRDefault="0017390A">
            <w:pPr>
              <w:rPr>
                <w:sz w:val="18"/>
              </w:rPr>
            </w:pPr>
          </w:p>
          <w:p w:rsidR="0017390A" w:rsidRDefault="0017390A">
            <w:pPr>
              <w:rPr>
                <w:sz w:val="18"/>
              </w:rPr>
            </w:pPr>
            <w:r>
              <w:rPr>
                <w:sz w:val="18"/>
              </w:rPr>
              <w:t>Est capable de communiquer sur une gamme étendue de sujets et de produire des énoncés sur un rythme assez régulier. Peut faire des descriptions claires et détaillées sur une vaste étendue de sujets relatifs à son centre d’intérêt. Ne commet pas de fautes qui provoquent des malentendus.</w:t>
            </w:r>
          </w:p>
        </w:tc>
      </w:tr>
      <w:tr w:rsidR="0017390A" w:rsidTr="0017390A">
        <w:tc>
          <w:tcPr>
            <w:tcW w:w="865" w:type="dxa"/>
            <w:tcBorders>
              <w:top w:val="single" w:sz="4" w:space="0" w:color="auto"/>
              <w:left w:val="single" w:sz="4" w:space="0" w:color="auto"/>
              <w:bottom w:val="single" w:sz="4" w:space="0" w:color="auto"/>
              <w:right w:val="single" w:sz="4" w:space="0" w:color="auto"/>
            </w:tcBorders>
            <w:hideMark/>
          </w:tcPr>
          <w:p w:rsidR="0017390A" w:rsidRDefault="0017390A">
            <w:r>
              <w:t>B1+</w:t>
            </w:r>
          </w:p>
        </w:tc>
        <w:tc>
          <w:tcPr>
            <w:tcW w:w="8345" w:type="dxa"/>
            <w:tcBorders>
              <w:top w:val="single" w:sz="4" w:space="0" w:color="auto"/>
              <w:left w:val="single" w:sz="4" w:space="0" w:color="auto"/>
              <w:bottom w:val="single" w:sz="4" w:space="0" w:color="auto"/>
              <w:right w:val="single" w:sz="4" w:space="0" w:color="auto"/>
            </w:tcBorders>
          </w:tcPr>
          <w:p w:rsidR="0017390A" w:rsidRDefault="0017390A">
            <w:pPr>
              <w:rPr>
                <w:sz w:val="18"/>
              </w:rPr>
            </w:pPr>
          </w:p>
        </w:tc>
      </w:tr>
      <w:tr w:rsidR="0017390A" w:rsidTr="0017390A">
        <w:tc>
          <w:tcPr>
            <w:tcW w:w="865" w:type="dxa"/>
            <w:tcBorders>
              <w:top w:val="single" w:sz="4" w:space="0" w:color="auto"/>
              <w:left w:val="single" w:sz="4" w:space="0" w:color="auto"/>
              <w:bottom w:val="single" w:sz="4" w:space="0" w:color="auto"/>
              <w:right w:val="single" w:sz="4" w:space="0" w:color="auto"/>
            </w:tcBorders>
            <w:shd w:val="clear" w:color="auto" w:fill="00FFFF"/>
            <w:hideMark/>
          </w:tcPr>
          <w:p w:rsidR="0017390A" w:rsidRDefault="0017390A">
            <w:r>
              <w:t>B1</w:t>
            </w:r>
          </w:p>
        </w:tc>
        <w:tc>
          <w:tcPr>
            <w:tcW w:w="8345" w:type="dxa"/>
            <w:tcBorders>
              <w:top w:val="single" w:sz="4" w:space="0" w:color="auto"/>
              <w:left w:val="single" w:sz="4" w:space="0" w:color="auto"/>
              <w:bottom w:val="single" w:sz="4" w:space="0" w:color="auto"/>
              <w:right w:val="single" w:sz="4" w:space="0" w:color="auto"/>
            </w:tcBorders>
            <w:shd w:val="clear" w:color="auto" w:fill="00FFFF"/>
          </w:tcPr>
          <w:p w:rsidR="0017390A" w:rsidRDefault="0017390A">
            <w:pPr>
              <w:rPr>
                <w:b/>
                <w:i/>
                <w:sz w:val="18"/>
              </w:rPr>
            </w:pPr>
            <w:r>
              <w:rPr>
                <w:b/>
                <w:i/>
                <w:sz w:val="18"/>
              </w:rPr>
              <w:t>Rapporte de façon compréhensible ce qu’il/elle tient à dire.</w:t>
            </w:r>
          </w:p>
          <w:p w:rsidR="0017390A" w:rsidRDefault="0017390A">
            <w:pPr>
              <w:rPr>
                <w:sz w:val="18"/>
              </w:rPr>
            </w:pPr>
          </w:p>
          <w:p w:rsidR="0017390A" w:rsidRDefault="0017390A">
            <w:pPr>
              <w:rPr>
                <w:sz w:val="18"/>
              </w:rPr>
            </w:pPr>
            <w:r>
              <w:rPr>
                <w:sz w:val="18"/>
              </w:rPr>
              <w:t>Est capable de tenir un discours compréhensible même si les pauses pour rechercher des mots ou des phrases ainsi que la remédiation sont très évidentes. Peut relier des éléments discrets simples en un paragraphe articulé pour faire des descriptions simples sur des sujets familiers variés propres à son domaine. Utilisation assez juste d’un répertoire essentiel associé aux situations les plus prévisibles.</w:t>
            </w:r>
          </w:p>
        </w:tc>
      </w:tr>
      <w:tr w:rsidR="0017390A" w:rsidTr="0017390A">
        <w:tc>
          <w:tcPr>
            <w:tcW w:w="865" w:type="dxa"/>
            <w:tcBorders>
              <w:top w:val="single" w:sz="4" w:space="0" w:color="auto"/>
              <w:left w:val="single" w:sz="4" w:space="0" w:color="auto"/>
              <w:bottom w:val="single" w:sz="4" w:space="0" w:color="auto"/>
              <w:right w:val="single" w:sz="4" w:space="0" w:color="auto"/>
            </w:tcBorders>
            <w:hideMark/>
          </w:tcPr>
          <w:p w:rsidR="0017390A" w:rsidRDefault="0017390A">
            <w:r>
              <w:t>A2+</w:t>
            </w:r>
          </w:p>
        </w:tc>
        <w:tc>
          <w:tcPr>
            <w:tcW w:w="8345" w:type="dxa"/>
            <w:tcBorders>
              <w:top w:val="single" w:sz="4" w:space="0" w:color="auto"/>
              <w:left w:val="single" w:sz="4" w:space="0" w:color="auto"/>
              <w:bottom w:val="single" w:sz="4" w:space="0" w:color="auto"/>
              <w:right w:val="single" w:sz="4" w:space="0" w:color="auto"/>
            </w:tcBorders>
          </w:tcPr>
          <w:p w:rsidR="0017390A" w:rsidRDefault="0017390A">
            <w:pPr>
              <w:rPr>
                <w:sz w:val="18"/>
              </w:rPr>
            </w:pPr>
          </w:p>
        </w:tc>
      </w:tr>
      <w:tr w:rsidR="0017390A" w:rsidTr="0017390A">
        <w:tc>
          <w:tcPr>
            <w:tcW w:w="865" w:type="dxa"/>
            <w:tcBorders>
              <w:top w:val="single" w:sz="4" w:space="0" w:color="auto"/>
              <w:left w:val="single" w:sz="4" w:space="0" w:color="auto"/>
              <w:bottom w:val="single" w:sz="4" w:space="0" w:color="auto"/>
              <w:right w:val="single" w:sz="4" w:space="0" w:color="auto"/>
            </w:tcBorders>
            <w:shd w:val="clear" w:color="auto" w:fill="00FFFF"/>
            <w:hideMark/>
          </w:tcPr>
          <w:p w:rsidR="0017390A" w:rsidRDefault="0017390A">
            <w:r>
              <w:t>A2</w:t>
            </w:r>
          </w:p>
        </w:tc>
        <w:tc>
          <w:tcPr>
            <w:tcW w:w="8345" w:type="dxa"/>
            <w:tcBorders>
              <w:top w:val="single" w:sz="4" w:space="0" w:color="auto"/>
              <w:left w:val="single" w:sz="4" w:space="0" w:color="auto"/>
              <w:bottom w:val="single" w:sz="4" w:space="0" w:color="auto"/>
              <w:right w:val="single" w:sz="4" w:space="0" w:color="auto"/>
            </w:tcBorders>
            <w:shd w:val="clear" w:color="auto" w:fill="00FFFF"/>
          </w:tcPr>
          <w:p w:rsidR="0017390A" w:rsidRDefault="0017390A">
            <w:pPr>
              <w:rPr>
                <w:b/>
                <w:i/>
                <w:sz w:val="18"/>
              </w:rPr>
            </w:pPr>
            <w:r>
              <w:rPr>
                <w:b/>
                <w:i/>
                <w:sz w:val="18"/>
              </w:rPr>
              <w:t>Rapporte des informations de base sur, par exemple, le travail, la famille, les loisirs, etc.</w:t>
            </w:r>
          </w:p>
          <w:p w:rsidR="0017390A" w:rsidRDefault="0017390A">
            <w:pPr>
              <w:rPr>
                <w:sz w:val="18"/>
              </w:rPr>
            </w:pPr>
          </w:p>
          <w:p w:rsidR="0017390A" w:rsidRDefault="0017390A">
            <w:pPr>
              <w:rPr>
                <w:sz w:val="18"/>
              </w:rPr>
            </w:pPr>
            <w:r>
              <w:rPr>
                <w:sz w:val="18"/>
              </w:rPr>
              <w:t>Est capable de communiquer dans un échange simple et direct d’informations sur des sujets courants. Peut se faire comprendre dans de très courts énoncés même si les pauses, les hésitations et la reformulation sont très évidentes. Peut décrire en termes simples ses conditions de vie, ses études, son dernier métier ou son métier actuel. Utilise correctement des structures simples mais peut commettre systématiquement des erreurs élémentaires.</w:t>
            </w:r>
          </w:p>
        </w:tc>
      </w:tr>
      <w:tr w:rsidR="0017390A" w:rsidTr="0017390A">
        <w:tc>
          <w:tcPr>
            <w:tcW w:w="865" w:type="dxa"/>
            <w:tcBorders>
              <w:top w:val="single" w:sz="4" w:space="0" w:color="auto"/>
              <w:left w:val="single" w:sz="4" w:space="0" w:color="auto"/>
              <w:bottom w:val="single" w:sz="4" w:space="0" w:color="auto"/>
              <w:right w:val="single" w:sz="4" w:space="0" w:color="auto"/>
            </w:tcBorders>
            <w:hideMark/>
          </w:tcPr>
          <w:p w:rsidR="0017390A" w:rsidRDefault="0017390A">
            <w:pPr>
              <w:rPr>
                <w:b/>
                <w:sz w:val="18"/>
              </w:rPr>
            </w:pPr>
            <w:r>
              <w:rPr>
                <w:b/>
                <w:sz w:val="18"/>
              </w:rPr>
              <w:t>A1</w:t>
            </w:r>
          </w:p>
        </w:tc>
        <w:tc>
          <w:tcPr>
            <w:tcW w:w="8345" w:type="dxa"/>
            <w:tcBorders>
              <w:top w:val="single" w:sz="4" w:space="0" w:color="auto"/>
              <w:left w:val="single" w:sz="4" w:space="0" w:color="auto"/>
              <w:bottom w:val="single" w:sz="4" w:space="0" w:color="auto"/>
              <w:right w:val="single" w:sz="4" w:space="0" w:color="auto"/>
            </w:tcBorders>
          </w:tcPr>
          <w:p w:rsidR="0017390A" w:rsidRDefault="0017390A">
            <w:pPr>
              <w:jc w:val="both"/>
              <w:rPr>
                <w:b/>
                <w:i/>
                <w:sz w:val="18"/>
              </w:rPr>
            </w:pPr>
            <w:r>
              <w:rPr>
                <w:b/>
                <w:i/>
                <w:sz w:val="18"/>
              </w:rPr>
              <w:t>S’exprime de façon simple sur des détails personnels et des sujets très familiers.</w:t>
            </w:r>
          </w:p>
          <w:p w:rsidR="0017390A" w:rsidRDefault="0017390A">
            <w:pPr>
              <w:jc w:val="both"/>
              <w:rPr>
                <w:sz w:val="18"/>
              </w:rPr>
            </w:pPr>
          </w:p>
          <w:p w:rsidR="0017390A" w:rsidRDefault="0017390A">
            <w:pPr>
              <w:jc w:val="both"/>
              <w:rPr>
                <w:sz w:val="18"/>
              </w:rPr>
            </w:pPr>
            <w:r>
              <w:rPr>
                <w:sz w:val="18"/>
              </w:rPr>
              <w:t>Est capable de se faire comprendre de façon simple, de poser des questions sur des détails personnels et d’y répondre à condition que l’interlocuteur parle lentement et clairement et soit prêt à aider. Peut se débrouiller avec des énoncés très courts, isolés, le plus souvent stéréotypés. De nombreuses pauses pour chercher ses mots et prononcer les moins familiers.</w:t>
            </w:r>
          </w:p>
        </w:tc>
      </w:tr>
      <w:tr w:rsidR="0017390A" w:rsidTr="0017390A">
        <w:tc>
          <w:tcPr>
            <w:tcW w:w="865" w:type="dxa"/>
            <w:tcBorders>
              <w:top w:val="single" w:sz="4" w:space="0" w:color="auto"/>
              <w:left w:val="single" w:sz="4" w:space="0" w:color="auto"/>
              <w:bottom w:val="single" w:sz="4" w:space="0" w:color="auto"/>
              <w:right w:val="single" w:sz="4" w:space="0" w:color="auto"/>
            </w:tcBorders>
            <w:hideMark/>
          </w:tcPr>
          <w:p w:rsidR="0017390A" w:rsidRDefault="0017390A">
            <w:pPr>
              <w:rPr>
                <w:b/>
                <w:sz w:val="18"/>
              </w:rPr>
            </w:pPr>
            <w:r>
              <w:rPr>
                <w:b/>
                <w:sz w:val="18"/>
              </w:rPr>
              <w:t>Au-dessous de A1</w:t>
            </w:r>
          </w:p>
        </w:tc>
        <w:tc>
          <w:tcPr>
            <w:tcW w:w="8345" w:type="dxa"/>
            <w:tcBorders>
              <w:top w:val="single" w:sz="4" w:space="0" w:color="auto"/>
              <w:left w:val="single" w:sz="4" w:space="0" w:color="auto"/>
              <w:bottom w:val="single" w:sz="4" w:space="0" w:color="auto"/>
              <w:right w:val="single" w:sz="4" w:space="0" w:color="auto"/>
            </w:tcBorders>
            <w:hideMark/>
          </w:tcPr>
          <w:p w:rsidR="0017390A" w:rsidRDefault="0017390A">
            <w:pPr>
              <w:jc w:val="both"/>
              <w:rPr>
                <w:sz w:val="18"/>
              </w:rPr>
            </w:pPr>
            <w:r>
              <w:rPr>
                <w:sz w:val="18"/>
              </w:rPr>
              <w:t>N’atteint pas la norme A1</w:t>
            </w:r>
          </w:p>
        </w:tc>
      </w:tr>
      <w:tr w:rsidR="0017390A" w:rsidTr="0017390A">
        <w:trPr>
          <w:cantSplit/>
        </w:trPr>
        <w:tc>
          <w:tcPr>
            <w:tcW w:w="9210" w:type="dxa"/>
            <w:gridSpan w:val="2"/>
            <w:tcBorders>
              <w:top w:val="single" w:sz="4" w:space="0" w:color="auto"/>
              <w:left w:val="single" w:sz="4" w:space="0" w:color="auto"/>
              <w:bottom w:val="single" w:sz="4" w:space="0" w:color="auto"/>
              <w:right w:val="single" w:sz="4" w:space="0" w:color="auto"/>
            </w:tcBorders>
            <w:hideMark/>
          </w:tcPr>
          <w:p w:rsidR="0017390A" w:rsidRDefault="0017390A" w:rsidP="007F56EE">
            <w:pPr>
              <w:numPr>
                <w:ilvl w:val="0"/>
                <w:numId w:val="1"/>
              </w:numPr>
              <w:rPr>
                <w:b/>
                <w:i/>
                <w:sz w:val="18"/>
              </w:rPr>
            </w:pPr>
            <w:r>
              <w:rPr>
                <w:b/>
                <w:i/>
                <w:sz w:val="18"/>
              </w:rPr>
              <w:t>Utiliser cette échelle pour les deux ou trois premières minutes d’un échantillon de production orale afin de décider approximativement du niveau auquel on pense que le locuteur se trouve.</w:t>
            </w:r>
          </w:p>
          <w:p w:rsidR="0017390A" w:rsidRDefault="0017390A" w:rsidP="007F56EE">
            <w:pPr>
              <w:numPr>
                <w:ilvl w:val="0"/>
                <w:numId w:val="1"/>
              </w:numPr>
              <w:rPr>
                <w:b/>
                <w:i/>
                <w:sz w:val="18"/>
              </w:rPr>
            </w:pPr>
            <w:r>
              <w:rPr>
                <w:b/>
                <w:i/>
                <w:sz w:val="18"/>
              </w:rPr>
              <w:t>Puis passer au Tableau C2 (Tableau 3 du CECRL) et évaluer plus en détail la performance par rapport aux descripteurs de ce niveau.</w:t>
            </w:r>
          </w:p>
        </w:tc>
      </w:tr>
    </w:tbl>
    <w:p w:rsidR="00F828EE" w:rsidRDefault="00F83227"/>
    <w:sectPr w:rsidR="00F828E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5339F"/>
    <w:multiLevelType w:val="multilevel"/>
    <w:tmpl w:val="1B54D93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90A"/>
    <w:rsid w:val="0017390A"/>
    <w:rsid w:val="001B6C93"/>
    <w:rsid w:val="00351F7A"/>
    <w:rsid w:val="0044018C"/>
    <w:rsid w:val="00690A2F"/>
    <w:rsid w:val="00856421"/>
    <w:rsid w:val="009259F0"/>
    <w:rsid w:val="00AA06FD"/>
    <w:rsid w:val="00B14A62"/>
    <w:rsid w:val="00BD48A6"/>
    <w:rsid w:val="00C11F9B"/>
    <w:rsid w:val="00CD463C"/>
    <w:rsid w:val="00D750D7"/>
    <w:rsid w:val="00E91770"/>
    <w:rsid w:val="00F832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991E4D-C743-43E0-BE2B-7ADF2A9A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7390A"/>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43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2439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2</cp:revision>
  <dcterms:created xsi:type="dcterms:W3CDTF">2017-01-28T09:29:00Z</dcterms:created>
  <dcterms:modified xsi:type="dcterms:W3CDTF">2017-01-28T09:29:00Z</dcterms:modified>
</cp:coreProperties>
</file>